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F1" w:rsidRDefault="00D528F1" w:rsidP="00E5149A">
      <w:pPr>
        <w:pStyle w:val="pleiade-rteelement-noh"/>
        <w:spacing w:before="0" w:beforeAutospacing="0" w:after="0" w:afterAutospacing="0"/>
        <w:jc w:val="center"/>
        <w:rPr>
          <w:rFonts w:ascii="Arial" w:hAnsi="Arial" w:cs="Arial"/>
          <w:b/>
          <w:sz w:val="20"/>
          <w:szCs w:val="20"/>
        </w:rPr>
      </w:pPr>
      <w:bookmarkStart w:id="0" w:name="_GoBack"/>
      <w:bookmarkEnd w:id="0"/>
    </w:p>
    <w:p w:rsidR="00E5149A" w:rsidRDefault="00E5149A" w:rsidP="00E5149A">
      <w:pPr>
        <w:pStyle w:val="pleiade-rteelement-noh"/>
        <w:spacing w:before="0" w:beforeAutospacing="0" w:after="0" w:afterAutospacing="0"/>
        <w:jc w:val="center"/>
        <w:rPr>
          <w:rFonts w:ascii="Arial" w:hAnsi="Arial" w:cs="Arial"/>
          <w:b/>
          <w:sz w:val="20"/>
          <w:szCs w:val="20"/>
        </w:rPr>
      </w:pPr>
      <w:r w:rsidRPr="00E5149A">
        <w:rPr>
          <w:rFonts w:ascii="Arial" w:hAnsi="Arial" w:cs="Arial"/>
          <w:b/>
          <w:sz w:val="20"/>
          <w:szCs w:val="20"/>
        </w:rPr>
        <w:t xml:space="preserve">Conditions d’obtention d’un CDI </w:t>
      </w:r>
    </w:p>
    <w:p w:rsidR="00D528F1" w:rsidRDefault="00D528F1" w:rsidP="00E5149A">
      <w:pPr>
        <w:pStyle w:val="pleiade-rteelement-noh"/>
        <w:spacing w:before="0" w:beforeAutospacing="0" w:after="0" w:afterAutospacing="0"/>
        <w:jc w:val="center"/>
        <w:rPr>
          <w:rFonts w:ascii="Arial" w:hAnsi="Arial" w:cs="Arial"/>
          <w:b/>
          <w:sz w:val="20"/>
          <w:szCs w:val="20"/>
        </w:rPr>
      </w:pPr>
    </w:p>
    <w:p w:rsidR="00E5149A" w:rsidRPr="00E5149A" w:rsidRDefault="00E5149A" w:rsidP="00E5149A">
      <w:pPr>
        <w:pStyle w:val="pleiade-rteelement-noh"/>
        <w:spacing w:before="0" w:beforeAutospacing="0" w:after="0" w:afterAutospacing="0"/>
        <w:jc w:val="center"/>
        <w:rPr>
          <w:rStyle w:val="lev"/>
          <w:rFonts w:ascii="Arial" w:hAnsi="Arial" w:cs="Arial"/>
          <w:sz w:val="20"/>
          <w:szCs w:val="20"/>
        </w:rPr>
      </w:pPr>
      <w:r w:rsidRPr="00E5149A">
        <w:rPr>
          <w:rFonts w:ascii="Arial" w:hAnsi="Arial" w:cs="Arial"/>
          <w:b/>
          <w:sz w:val="20"/>
          <w:szCs w:val="20"/>
        </w:rPr>
        <w:t>(loi n°2012-347 du 12 mars 2012</w:t>
      </w:r>
      <w:r w:rsidRPr="00E5149A">
        <w:rPr>
          <w:rFonts w:ascii="Arial" w:hAnsi="Arial" w:cs="Arial"/>
          <w:sz w:val="20"/>
          <w:szCs w:val="20"/>
        </w:rPr>
        <w:t xml:space="preserve"> </w:t>
      </w:r>
      <w:r w:rsidRPr="00E5149A">
        <w:rPr>
          <w:rStyle w:val="lev"/>
          <w:rFonts w:ascii="Arial" w:hAnsi="Arial" w:cs="Arial"/>
          <w:sz w:val="20"/>
          <w:szCs w:val="20"/>
        </w:rPr>
        <w:t>relative à l'accès à l'emploi titulaire et à l'amélioration des conditions d'emploi des agents contractuels dans la fonction publique, à la lutte contre les discriminations et portant diverses dispositions relatives à la fonction publique</w:t>
      </w:r>
      <w:r>
        <w:rPr>
          <w:rStyle w:val="lev"/>
          <w:rFonts w:ascii="Arial" w:hAnsi="Arial" w:cs="Arial"/>
          <w:sz w:val="20"/>
          <w:szCs w:val="20"/>
        </w:rPr>
        <w:t>°</w:t>
      </w:r>
    </w:p>
    <w:p w:rsidR="00E5149A" w:rsidRDefault="00E5149A" w:rsidP="00E5149A">
      <w:pPr>
        <w:pStyle w:val="pleiade-rteelement-noh"/>
        <w:spacing w:before="0" w:beforeAutospacing="0" w:after="0" w:afterAutospacing="0"/>
        <w:jc w:val="both"/>
        <w:rPr>
          <w:rFonts w:ascii="Arial" w:hAnsi="Arial" w:cs="Arial"/>
          <w:sz w:val="20"/>
          <w:szCs w:val="20"/>
        </w:rPr>
      </w:pPr>
    </w:p>
    <w:p w:rsidR="00D528F1" w:rsidRDefault="00D528F1" w:rsidP="00E5149A">
      <w:pPr>
        <w:pStyle w:val="pleiade-rteelement-noh"/>
        <w:spacing w:before="0" w:beforeAutospacing="0" w:after="0" w:afterAutospacing="0"/>
        <w:jc w:val="both"/>
        <w:rPr>
          <w:rFonts w:ascii="Arial" w:hAnsi="Arial" w:cs="Arial"/>
          <w:sz w:val="20"/>
          <w:szCs w:val="20"/>
        </w:rPr>
      </w:pPr>
    </w:p>
    <w:p w:rsidR="00E5149A" w:rsidRDefault="00E5149A" w:rsidP="00E5149A">
      <w:pPr>
        <w:pStyle w:val="pleiade-rteelement-noh"/>
        <w:spacing w:before="0" w:beforeAutospacing="0" w:after="0" w:afterAutospacing="0"/>
        <w:jc w:val="both"/>
        <w:rPr>
          <w:rFonts w:ascii="Arial" w:hAnsi="Arial" w:cs="Arial"/>
          <w:sz w:val="20"/>
          <w:szCs w:val="20"/>
        </w:rPr>
      </w:pPr>
      <w:r w:rsidRPr="00E5149A">
        <w:rPr>
          <w:rFonts w:ascii="Arial" w:hAnsi="Arial" w:cs="Arial"/>
          <w:sz w:val="20"/>
          <w:szCs w:val="20"/>
        </w:rPr>
        <w:t>Conditions d’obtention d’un CDI</w:t>
      </w:r>
      <w:r>
        <w:rPr>
          <w:rFonts w:ascii="Arial" w:hAnsi="Arial" w:cs="Arial"/>
          <w:sz w:val="20"/>
          <w:szCs w:val="20"/>
        </w:rPr>
        <w:t xml:space="preserve"> </w:t>
      </w:r>
      <w:r w:rsidRPr="00E5149A">
        <w:rPr>
          <w:rFonts w:ascii="Arial" w:hAnsi="Arial" w:cs="Arial"/>
          <w:sz w:val="20"/>
          <w:szCs w:val="20"/>
        </w:rPr>
        <w:t>:</w:t>
      </w:r>
    </w:p>
    <w:p w:rsidR="00E5149A" w:rsidRPr="00E5149A" w:rsidRDefault="00E5149A" w:rsidP="00E5149A">
      <w:pPr>
        <w:pStyle w:val="pleiade-rteelement-noh"/>
        <w:spacing w:before="0" w:beforeAutospacing="0" w:after="0" w:afterAutospacing="0"/>
        <w:jc w:val="both"/>
        <w:rPr>
          <w:rFonts w:ascii="Arial" w:hAnsi="Arial" w:cs="Arial"/>
          <w:sz w:val="20"/>
          <w:szCs w:val="20"/>
        </w:rPr>
      </w:pPr>
    </w:p>
    <w:p w:rsidR="00E5149A" w:rsidRDefault="00E5149A" w:rsidP="00E5149A">
      <w:pPr>
        <w:pStyle w:val="pleiade-rteelement-noh"/>
        <w:numPr>
          <w:ilvl w:val="0"/>
          <w:numId w:val="1"/>
        </w:numPr>
        <w:spacing w:before="0" w:beforeAutospacing="0" w:after="0" w:afterAutospacing="0"/>
        <w:jc w:val="both"/>
        <w:rPr>
          <w:rFonts w:ascii="Arial" w:hAnsi="Arial" w:cs="Arial"/>
          <w:sz w:val="20"/>
          <w:szCs w:val="20"/>
        </w:rPr>
      </w:pPr>
      <w:r w:rsidRPr="00E5149A">
        <w:rPr>
          <w:rFonts w:ascii="Arial" w:hAnsi="Arial" w:cs="Arial"/>
          <w:sz w:val="20"/>
          <w:szCs w:val="20"/>
        </w:rPr>
        <w:t xml:space="preserve">justifier d’une durée de services publics effectifs de </w:t>
      </w:r>
      <w:r w:rsidRPr="00E5149A">
        <w:rPr>
          <w:rFonts w:ascii="Arial" w:hAnsi="Arial" w:cs="Arial"/>
          <w:sz w:val="20"/>
          <w:szCs w:val="20"/>
          <w:u w:val="single"/>
        </w:rPr>
        <w:t>six années</w:t>
      </w:r>
      <w:r w:rsidRPr="00E5149A">
        <w:rPr>
          <w:rFonts w:ascii="Arial" w:hAnsi="Arial" w:cs="Arial"/>
          <w:sz w:val="20"/>
          <w:szCs w:val="20"/>
        </w:rPr>
        <w:t xml:space="preserve"> dans des fonctions relevant de la même catégorie hiérarchique et auprès du même département ministériel (ministère chargé de l’éducation nationale) ;</w:t>
      </w:r>
    </w:p>
    <w:p w:rsidR="00D528F1" w:rsidRPr="00E5149A" w:rsidRDefault="00D528F1" w:rsidP="00D528F1">
      <w:pPr>
        <w:pStyle w:val="pleiade-rteelement-noh"/>
        <w:spacing w:before="0" w:beforeAutospacing="0" w:after="0" w:afterAutospacing="0"/>
        <w:ind w:left="720"/>
        <w:jc w:val="both"/>
        <w:rPr>
          <w:rFonts w:ascii="Arial" w:hAnsi="Arial" w:cs="Arial"/>
          <w:sz w:val="20"/>
          <w:szCs w:val="20"/>
        </w:rPr>
      </w:pPr>
    </w:p>
    <w:p w:rsidR="00E5149A" w:rsidRDefault="00E5149A" w:rsidP="00E5149A">
      <w:pPr>
        <w:pStyle w:val="pleiade-rteelement-noh"/>
        <w:numPr>
          <w:ilvl w:val="0"/>
          <w:numId w:val="1"/>
        </w:numPr>
        <w:spacing w:before="0" w:beforeAutospacing="0" w:after="0" w:afterAutospacing="0"/>
        <w:jc w:val="both"/>
        <w:rPr>
          <w:rFonts w:ascii="Arial" w:hAnsi="Arial" w:cs="Arial"/>
          <w:sz w:val="20"/>
          <w:szCs w:val="20"/>
        </w:rPr>
      </w:pPr>
      <w:r w:rsidRPr="00E5149A">
        <w:rPr>
          <w:rFonts w:ascii="Arial" w:hAnsi="Arial" w:cs="Arial"/>
          <w:sz w:val="20"/>
          <w:szCs w:val="20"/>
        </w:rPr>
        <w:t>avoir son contrat renouvelé la septième année.</w:t>
      </w:r>
    </w:p>
    <w:p w:rsidR="00E5149A" w:rsidRPr="00E5149A" w:rsidRDefault="00E5149A" w:rsidP="00E5149A">
      <w:pPr>
        <w:pStyle w:val="pleiade-rteelement-noh"/>
        <w:spacing w:before="0" w:beforeAutospacing="0" w:after="0" w:afterAutospacing="0"/>
        <w:ind w:left="360"/>
        <w:jc w:val="both"/>
        <w:rPr>
          <w:rFonts w:ascii="Arial" w:hAnsi="Arial" w:cs="Arial"/>
          <w:sz w:val="20"/>
          <w:szCs w:val="20"/>
        </w:rPr>
      </w:pPr>
    </w:p>
    <w:p w:rsidR="00E5149A" w:rsidRDefault="00E5149A" w:rsidP="00E5149A">
      <w:pPr>
        <w:pStyle w:val="pleiade-rteelement-noh"/>
        <w:spacing w:before="0" w:beforeAutospacing="0" w:after="0" w:afterAutospacing="0"/>
        <w:jc w:val="both"/>
        <w:rPr>
          <w:rStyle w:val="lev"/>
          <w:rFonts w:ascii="Arial" w:hAnsi="Arial" w:cs="Arial"/>
          <w:b w:val="0"/>
          <w:sz w:val="20"/>
          <w:szCs w:val="20"/>
        </w:rPr>
      </w:pPr>
      <w:r w:rsidRPr="00E5149A">
        <w:rPr>
          <w:rStyle w:val="lev"/>
          <w:rFonts w:ascii="Arial" w:hAnsi="Arial" w:cs="Arial"/>
          <w:b w:val="0"/>
          <w:sz w:val="20"/>
          <w:szCs w:val="20"/>
        </w:rPr>
        <w:t>S’agissant de la nature des services publics effectifs accomplis, sont notamment pris en compte :</w:t>
      </w:r>
    </w:p>
    <w:p w:rsidR="00E5149A" w:rsidRPr="00E5149A" w:rsidRDefault="00E5149A" w:rsidP="00E5149A">
      <w:pPr>
        <w:pStyle w:val="pleiade-rteelement-noh"/>
        <w:spacing w:before="0" w:beforeAutospacing="0" w:after="0" w:afterAutospacing="0"/>
        <w:jc w:val="both"/>
        <w:rPr>
          <w:rFonts w:ascii="Arial" w:hAnsi="Arial" w:cs="Arial"/>
          <w:b/>
          <w:sz w:val="20"/>
          <w:szCs w:val="20"/>
        </w:rPr>
      </w:pPr>
    </w:p>
    <w:p w:rsidR="00E5149A" w:rsidRDefault="00E5149A" w:rsidP="00E5149A">
      <w:pPr>
        <w:pStyle w:val="pleiade-rteelement-noh"/>
        <w:numPr>
          <w:ilvl w:val="0"/>
          <w:numId w:val="2"/>
        </w:numPr>
        <w:spacing w:before="0" w:beforeAutospacing="0" w:after="0" w:afterAutospacing="0"/>
        <w:jc w:val="both"/>
        <w:rPr>
          <w:rFonts w:ascii="Arial" w:hAnsi="Arial" w:cs="Arial"/>
          <w:sz w:val="20"/>
          <w:szCs w:val="20"/>
        </w:rPr>
      </w:pPr>
      <w:r w:rsidRPr="00E5149A">
        <w:rPr>
          <w:rFonts w:ascii="Arial" w:hAnsi="Arial" w:cs="Arial"/>
          <w:sz w:val="20"/>
          <w:szCs w:val="20"/>
        </w:rPr>
        <w:t>les services accomplis en tant que maître délégué dans les établissements sous contrat d’association, quel que soit le niveau d’enseignement ;</w:t>
      </w:r>
    </w:p>
    <w:p w:rsidR="00D528F1" w:rsidRDefault="00D528F1" w:rsidP="00D528F1">
      <w:pPr>
        <w:pStyle w:val="pleiade-rteelement-noh"/>
        <w:spacing w:before="0" w:beforeAutospacing="0" w:after="0" w:afterAutospacing="0"/>
        <w:ind w:left="720"/>
        <w:jc w:val="both"/>
        <w:rPr>
          <w:rFonts w:ascii="Arial" w:hAnsi="Arial" w:cs="Arial"/>
          <w:sz w:val="20"/>
          <w:szCs w:val="20"/>
        </w:rPr>
      </w:pPr>
    </w:p>
    <w:p w:rsidR="00E5149A" w:rsidRDefault="00E5149A" w:rsidP="00E5149A">
      <w:pPr>
        <w:pStyle w:val="pleiade-rteelement-noh"/>
        <w:numPr>
          <w:ilvl w:val="0"/>
          <w:numId w:val="2"/>
        </w:numPr>
        <w:spacing w:before="0" w:beforeAutospacing="0" w:after="0" w:afterAutospacing="0"/>
        <w:jc w:val="both"/>
        <w:rPr>
          <w:rFonts w:ascii="Arial" w:hAnsi="Arial" w:cs="Arial"/>
          <w:sz w:val="20"/>
          <w:szCs w:val="20"/>
        </w:rPr>
      </w:pPr>
      <w:r w:rsidRPr="00E5149A">
        <w:rPr>
          <w:rFonts w:ascii="Arial" w:hAnsi="Arial" w:cs="Arial"/>
          <w:sz w:val="20"/>
          <w:szCs w:val="20"/>
        </w:rPr>
        <w:t>les services accomplis en tant qu’enseignant non titulaire (contractuels relevant du décret n° 81-535 du 12 mai 1981 ou vacataires relevant du décret n° 89-497 du 12 juillet 1989) dans les établissements d’enseignement publics du premier et du second degrés ;</w:t>
      </w:r>
    </w:p>
    <w:p w:rsidR="00D528F1" w:rsidRDefault="00D528F1" w:rsidP="00D528F1">
      <w:pPr>
        <w:pStyle w:val="pleiade-rteelement-noh"/>
        <w:spacing w:before="0" w:beforeAutospacing="0" w:after="0" w:afterAutospacing="0"/>
        <w:jc w:val="both"/>
        <w:rPr>
          <w:rFonts w:ascii="Arial" w:hAnsi="Arial" w:cs="Arial"/>
          <w:sz w:val="20"/>
          <w:szCs w:val="20"/>
        </w:rPr>
      </w:pPr>
    </w:p>
    <w:p w:rsidR="00E5149A" w:rsidRDefault="00E5149A" w:rsidP="00E5149A">
      <w:pPr>
        <w:pStyle w:val="pleiade-rteelement-noh"/>
        <w:numPr>
          <w:ilvl w:val="0"/>
          <w:numId w:val="2"/>
        </w:numPr>
        <w:spacing w:before="0" w:beforeAutospacing="0" w:after="0" w:afterAutospacing="0"/>
        <w:jc w:val="both"/>
        <w:rPr>
          <w:rFonts w:ascii="Arial" w:hAnsi="Arial" w:cs="Arial"/>
          <w:sz w:val="20"/>
          <w:szCs w:val="20"/>
        </w:rPr>
      </w:pPr>
      <w:r w:rsidRPr="00E5149A">
        <w:rPr>
          <w:rFonts w:ascii="Arial" w:hAnsi="Arial" w:cs="Arial"/>
          <w:sz w:val="20"/>
          <w:szCs w:val="20"/>
        </w:rPr>
        <w:t>les services accomplis en tant que formateur dans un GRETA, sous réserve que l’agent ait assuré, au sein du GRETA, un enseignement permanent assimilable à un enseignement relevant de la formation initiale</w:t>
      </w:r>
      <w:r>
        <w:rPr>
          <w:rFonts w:ascii="Arial" w:hAnsi="Arial" w:cs="Arial"/>
          <w:sz w:val="20"/>
          <w:szCs w:val="20"/>
        </w:rPr>
        <w:t xml:space="preserve"> </w:t>
      </w:r>
      <w:r w:rsidRPr="00E5149A">
        <w:rPr>
          <w:rFonts w:ascii="Arial" w:hAnsi="Arial" w:cs="Arial"/>
          <w:sz w:val="20"/>
          <w:szCs w:val="20"/>
        </w:rPr>
        <w:t>;</w:t>
      </w:r>
    </w:p>
    <w:p w:rsidR="00D528F1" w:rsidRDefault="00D528F1" w:rsidP="00D528F1">
      <w:pPr>
        <w:pStyle w:val="pleiade-rteelement-noh"/>
        <w:spacing w:before="0" w:beforeAutospacing="0" w:after="0" w:afterAutospacing="0"/>
        <w:jc w:val="both"/>
        <w:rPr>
          <w:rFonts w:ascii="Arial" w:hAnsi="Arial" w:cs="Arial"/>
          <w:sz w:val="20"/>
          <w:szCs w:val="20"/>
        </w:rPr>
      </w:pPr>
    </w:p>
    <w:p w:rsidR="00E5149A" w:rsidRDefault="00E5149A" w:rsidP="00E5149A">
      <w:pPr>
        <w:pStyle w:val="pleiade-rteelement-noh"/>
        <w:numPr>
          <w:ilvl w:val="0"/>
          <w:numId w:val="2"/>
        </w:numPr>
        <w:spacing w:before="0" w:beforeAutospacing="0" w:after="0" w:afterAutospacing="0"/>
        <w:jc w:val="both"/>
        <w:rPr>
          <w:rFonts w:ascii="Arial" w:hAnsi="Arial" w:cs="Arial"/>
          <w:sz w:val="20"/>
          <w:szCs w:val="20"/>
        </w:rPr>
      </w:pPr>
      <w:r w:rsidRPr="00E5149A">
        <w:rPr>
          <w:rFonts w:ascii="Arial" w:hAnsi="Arial" w:cs="Arial"/>
          <w:sz w:val="20"/>
          <w:szCs w:val="20"/>
        </w:rPr>
        <w:t>les services en tant qu’intervenant pour l’enseignement des langues dans les écoles du premier degré public ;</w:t>
      </w:r>
    </w:p>
    <w:p w:rsidR="00D528F1" w:rsidRPr="00E5149A" w:rsidRDefault="00D528F1" w:rsidP="00D528F1">
      <w:pPr>
        <w:pStyle w:val="pleiade-rteelement-noh"/>
        <w:spacing w:before="0" w:beforeAutospacing="0" w:after="0" w:afterAutospacing="0"/>
        <w:jc w:val="both"/>
        <w:rPr>
          <w:rFonts w:ascii="Arial" w:hAnsi="Arial" w:cs="Arial"/>
          <w:sz w:val="20"/>
          <w:szCs w:val="20"/>
        </w:rPr>
      </w:pPr>
    </w:p>
    <w:p w:rsidR="00E5149A" w:rsidRPr="00E5149A" w:rsidRDefault="00E5149A" w:rsidP="00E5149A">
      <w:pPr>
        <w:pStyle w:val="pleiade-rteelement-noh"/>
        <w:numPr>
          <w:ilvl w:val="0"/>
          <w:numId w:val="2"/>
        </w:numPr>
        <w:spacing w:before="0" w:beforeAutospacing="0" w:after="0" w:afterAutospacing="0"/>
        <w:jc w:val="both"/>
        <w:rPr>
          <w:rFonts w:ascii="Arial" w:hAnsi="Arial" w:cs="Arial"/>
          <w:sz w:val="20"/>
          <w:szCs w:val="20"/>
        </w:rPr>
      </w:pPr>
      <w:r w:rsidRPr="00E5149A">
        <w:rPr>
          <w:rFonts w:ascii="Arial" w:hAnsi="Arial" w:cs="Arial"/>
          <w:sz w:val="20"/>
          <w:szCs w:val="20"/>
        </w:rPr>
        <w:t>les périodes ayant donné lieu au versement d’indemnités vacances (IV) sont assimilées, pour le calcul des six années, à des périodes d’activité.</w:t>
      </w:r>
    </w:p>
    <w:p w:rsidR="00D528F1" w:rsidRDefault="00D528F1" w:rsidP="00E5149A">
      <w:pPr>
        <w:pStyle w:val="pleiade-rteelement-noh"/>
        <w:spacing w:before="0" w:beforeAutospacing="0" w:after="0" w:afterAutospacing="0"/>
        <w:jc w:val="both"/>
        <w:rPr>
          <w:rStyle w:val="lev"/>
          <w:rFonts w:ascii="Arial" w:hAnsi="Arial" w:cs="Arial"/>
          <w:sz w:val="20"/>
          <w:szCs w:val="20"/>
        </w:rPr>
      </w:pPr>
    </w:p>
    <w:p w:rsidR="00E5149A" w:rsidRDefault="00D528F1" w:rsidP="00E5149A">
      <w:pPr>
        <w:pStyle w:val="pleiade-rteelement-noh"/>
        <w:spacing w:before="0" w:beforeAutospacing="0" w:after="0" w:afterAutospacing="0"/>
        <w:jc w:val="both"/>
        <w:rPr>
          <w:rStyle w:val="lev"/>
          <w:rFonts w:ascii="Arial" w:hAnsi="Arial" w:cs="Arial"/>
          <w:b w:val="0"/>
          <w:sz w:val="20"/>
          <w:szCs w:val="20"/>
        </w:rPr>
      </w:pPr>
      <w:r w:rsidRPr="00D528F1">
        <w:rPr>
          <w:rStyle w:val="lev"/>
          <w:rFonts w:ascii="Arial" w:hAnsi="Arial" w:cs="Arial"/>
          <w:b w:val="0"/>
          <w:sz w:val="20"/>
          <w:szCs w:val="20"/>
        </w:rPr>
        <w:t>Ne</w:t>
      </w:r>
      <w:r w:rsidR="00E5149A" w:rsidRPr="00D528F1">
        <w:rPr>
          <w:rStyle w:val="lev"/>
          <w:rFonts w:ascii="Arial" w:hAnsi="Arial" w:cs="Arial"/>
          <w:b w:val="0"/>
          <w:sz w:val="20"/>
          <w:szCs w:val="20"/>
        </w:rPr>
        <w:t xml:space="preserve"> sont pas pris en compte dans le calcul des six années de services publics effectifs :</w:t>
      </w:r>
    </w:p>
    <w:p w:rsidR="00D528F1" w:rsidRPr="00D528F1" w:rsidRDefault="00D528F1" w:rsidP="00E5149A">
      <w:pPr>
        <w:pStyle w:val="pleiade-rteelement-noh"/>
        <w:spacing w:before="0" w:beforeAutospacing="0" w:after="0" w:afterAutospacing="0"/>
        <w:jc w:val="both"/>
        <w:rPr>
          <w:rFonts w:ascii="Arial" w:hAnsi="Arial" w:cs="Arial"/>
          <w:b/>
          <w:sz w:val="20"/>
          <w:szCs w:val="20"/>
        </w:rPr>
      </w:pPr>
    </w:p>
    <w:p w:rsidR="00E5149A" w:rsidRDefault="00E5149A" w:rsidP="00E5149A">
      <w:pPr>
        <w:pStyle w:val="pleiade-rteelement-noh"/>
        <w:numPr>
          <w:ilvl w:val="0"/>
          <w:numId w:val="3"/>
        </w:numPr>
        <w:spacing w:before="0" w:beforeAutospacing="0" w:after="0" w:afterAutospacing="0"/>
        <w:jc w:val="both"/>
        <w:rPr>
          <w:rFonts w:ascii="Arial" w:hAnsi="Arial" w:cs="Arial"/>
          <w:sz w:val="20"/>
          <w:szCs w:val="20"/>
        </w:rPr>
      </w:pPr>
      <w:r w:rsidRPr="00E5149A">
        <w:rPr>
          <w:rFonts w:ascii="Arial" w:hAnsi="Arial" w:cs="Arial"/>
          <w:sz w:val="20"/>
          <w:szCs w:val="20"/>
        </w:rPr>
        <w:t>les congés non rémunérés pour raisons familiales ou personnelles (exemple : congé parental ; congé pour convenance personnelle…) ;</w:t>
      </w:r>
    </w:p>
    <w:p w:rsidR="00D528F1" w:rsidRPr="00E5149A" w:rsidRDefault="00D528F1" w:rsidP="00D528F1">
      <w:pPr>
        <w:pStyle w:val="pleiade-rteelement-noh"/>
        <w:spacing w:before="0" w:beforeAutospacing="0" w:after="0" w:afterAutospacing="0"/>
        <w:ind w:left="720"/>
        <w:jc w:val="both"/>
        <w:rPr>
          <w:rFonts w:ascii="Arial" w:hAnsi="Arial" w:cs="Arial"/>
          <w:sz w:val="20"/>
          <w:szCs w:val="20"/>
        </w:rPr>
      </w:pPr>
    </w:p>
    <w:p w:rsidR="00E5149A" w:rsidRDefault="00E5149A" w:rsidP="00E5149A">
      <w:pPr>
        <w:pStyle w:val="pleiade-rteelement-noh"/>
        <w:numPr>
          <w:ilvl w:val="0"/>
          <w:numId w:val="3"/>
        </w:numPr>
        <w:spacing w:before="0" w:beforeAutospacing="0" w:after="0" w:afterAutospacing="0"/>
        <w:jc w:val="both"/>
        <w:rPr>
          <w:rFonts w:ascii="Arial" w:hAnsi="Arial" w:cs="Arial"/>
          <w:sz w:val="20"/>
          <w:szCs w:val="20"/>
        </w:rPr>
      </w:pPr>
      <w:r w:rsidRPr="00E5149A">
        <w:rPr>
          <w:rFonts w:ascii="Arial" w:hAnsi="Arial" w:cs="Arial"/>
          <w:sz w:val="20"/>
          <w:szCs w:val="20"/>
        </w:rPr>
        <w:t>les services d’assistant d’éducation, de maître d’internat et de surveillant d’externat ;</w:t>
      </w:r>
    </w:p>
    <w:p w:rsidR="00D528F1" w:rsidRPr="00E5149A" w:rsidRDefault="00D528F1" w:rsidP="00D528F1">
      <w:pPr>
        <w:pStyle w:val="pleiade-rteelement-noh"/>
        <w:spacing w:before="0" w:beforeAutospacing="0" w:after="0" w:afterAutospacing="0"/>
        <w:jc w:val="both"/>
        <w:rPr>
          <w:rFonts w:ascii="Arial" w:hAnsi="Arial" w:cs="Arial"/>
          <w:sz w:val="20"/>
          <w:szCs w:val="20"/>
        </w:rPr>
      </w:pPr>
    </w:p>
    <w:p w:rsidR="00E5149A" w:rsidRPr="00E5149A" w:rsidRDefault="00E5149A" w:rsidP="00E5149A">
      <w:pPr>
        <w:pStyle w:val="pleiade-rteelement-noh"/>
        <w:numPr>
          <w:ilvl w:val="0"/>
          <w:numId w:val="3"/>
        </w:numPr>
        <w:spacing w:before="0" w:beforeAutospacing="0" w:after="0" w:afterAutospacing="0"/>
        <w:jc w:val="both"/>
        <w:rPr>
          <w:rFonts w:ascii="Arial" w:hAnsi="Arial" w:cs="Arial"/>
          <w:sz w:val="20"/>
          <w:szCs w:val="20"/>
        </w:rPr>
      </w:pPr>
      <w:r w:rsidRPr="00E5149A">
        <w:rPr>
          <w:rFonts w:ascii="Arial" w:hAnsi="Arial" w:cs="Arial"/>
          <w:sz w:val="20"/>
          <w:szCs w:val="20"/>
        </w:rPr>
        <w:t>les services accomplis dans les établissements d’enseignement privés sous contrat simple, l’employeur étant l’établissement privé et non l’Etat.</w:t>
      </w:r>
    </w:p>
    <w:p w:rsidR="00D528F1" w:rsidRDefault="00D528F1" w:rsidP="00E5149A">
      <w:pPr>
        <w:pStyle w:val="pleiade-rteelement-noh"/>
        <w:spacing w:before="0" w:beforeAutospacing="0" w:after="0" w:afterAutospacing="0"/>
        <w:jc w:val="both"/>
        <w:rPr>
          <w:rFonts w:ascii="Arial" w:hAnsi="Arial" w:cs="Arial"/>
          <w:sz w:val="20"/>
          <w:szCs w:val="20"/>
        </w:rPr>
      </w:pPr>
    </w:p>
    <w:p w:rsidR="00E5149A" w:rsidRPr="00E5149A" w:rsidRDefault="00E5149A" w:rsidP="00E5149A">
      <w:pPr>
        <w:pStyle w:val="pleiade-rteelement-noh"/>
        <w:spacing w:before="0" w:beforeAutospacing="0" w:after="0" w:afterAutospacing="0"/>
        <w:jc w:val="both"/>
        <w:rPr>
          <w:rFonts w:ascii="Arial" w:hAnsi="Arial" w:cs="Arial"/>
          <w:sz w:val="20"/>
          <w:szCs w:val="20"/>
        </w:rPr>
      </w:pPr>
      <w:r w:rsidRPr="00E5149A">
        <w:rPr>
          <w:rFonts w:ascii="Arial" w:hAnsi="Arial" w:cs="Arial"/>
          <w:sz w:val="20"/>
          <w:szCs w:val="20"/>
        </w:rPr>
        <w:t>L’ancienneté de six ans de services publics effectifs s’apprécie de date à date e</w:t>
      </w:r>
      <w:r w:rsidR="00D528F1">
        <w:rPr>
          <w:rFonts w:ascii="Arial" w:hAnsi="Arial" w:cs="Arial"/>
          <w:sz w:val="20"/>
          <w:szCs w:val="20"/>
        </w:rPr>
        <w:t xml:space="preserve">t non en équivalent temps plein. </w:t>
      </w:r>
      <w:r w:rsidRPr="00E5149A">
        <w:rPr>
          <w:rFonts w:ascii="Arial" w:hAnsi="Arial" w:cs="Arial"/>
          <w:sz w:val="20"/>
          <w:szCs w:val="20"/>
        </w:rPr>
        <w:t>Les services effectués par les maîtres sont, pour le calcul des six années, considérés comme ayant été exercés à temps plein, quelle q</w:t>
      </w:r>
      <w:r w:rsidR="00D528F1">
        <w:rPr>
          <w:rFonts w:ascii="Arial" w:hAnsi="Arial" w:cs="Arial"/>
          <w:sz w:val="20"/>
          <w:szCs w:val="20"/>
        </w:rPr>
        <w:t>ue soit la quotité de services</w:t>
      </w:r>
      <w:r w:rsidRPr="00E5149A">
        <w:rPr>
          <w:rFonts w:ascii="Arial" w:hAnsi="Arial" w:cs="Arial"/>
          <w:sz w:val="20"/>
          <w:szCs w:val="20"/>
        </w:rPr>
        <w:t>.</w:t>
      </w:r>
    </w:p>
    <w:p w:rsidR="00D528F1" w:rsidRDefault="00D528F1" w:rsidP="00E5149A">
      <w:pPr>
        <w:pStyle w:val="pleiade-rteelement-noh"/>
        <w:spacing w:before="0" w:beforeAutospacing="0" w:after="0" w:afterAutospacing="0"/>
        <w:jc w:val="both"/>
        <w:rPr>
          <w:rStyle w:val="lev"/>
          <w:rFonts w:ascii="Arial" w:hAnsi="Arial" w:cs="Arial"/>
          <w:sz w:val="20"/>
          <w:szCs w:val="20"/>
        </w:rPr>
      </w:pPr>
    </w:p>
    <w:p w:rsidR="00E5149A" w:rsidRDefault="00E5149A" w:rsidP="00E5149A">
      <w:pPr>
        <w:pStyle w:val="pleiade-rteelement-noh"/>
        <w:spacing w:before="0" w:beforeAutospacing="0" w:after="0" w:afterAutospacing="0"/>
        <w:jc w:val="both"/>
        <w:rPr>
          <w:rStyle w:val="lev"/>
          <w:rFonts w:ascii="Arial" w:hAnsi="Arial" w:cs="Arial"/>
          <w:b w:val="0"/>
          <w:sz w:val="20"/>
          <w:szCs w:val="20"/>
        </w:rPr>
      </w:pPr>
      <w:r w:rsidRPr="00D528F1">
        <w:rPr>
          <w:rStyle w:val="lev"/>
          <w:rFonts w:ascii="Arial" w:hAnsi="Arial" w:cs="Arial"/>
          <w:b w:val="0"/>
          <w:sz w:val="20"/>
          <w:szCs w:val="20"/>
        </w:rPr>
        <w:t>S’agissant de la notion de continuité de services :</w:t>
      </w:r>
    </w:p>
    <w:p w:rsidR="00D528F1" w:rsidRPr="00D528F1" w:rsidRDefault="00D528F1" w:rsidP="00E5149A">
      <w:pPr>
        <w:pStyle w:val="pleiade-rteelement-noh"/>
        <w:spacing w:before="0" w:beforeAutospacing="0" w:after="0" w:afterAutospacing="0"/>
        <w:jc w:val="both"/>
        <w:rPr>
          <w:rFonts w:ascii="Arial" w:hAnsi="Arial" w:cs="Arial"/>
          <w:b/>
          <w:sz w:val="20"/>
          <w:szCs w:val="20"/>
        </w:rPr>
      </w:pPr>
    </w:p>
    <w:p w:rsidR="00E5149A" w:rsidRDefault="00E5149A" w:rsidP="00E5149A">
      <w:pPr>
        <w:pStyle w:val="pleiade-rteelement-noh"/>
        <w:numPr>
          <w:ilvl w:val="0"/>
          <w:numId w:val="4"/>
        </w:numPr>
        <w:spacing w:before="0" w:beforeAutospacing="0" w:after="0" w:afterAutospacing="0"/>
        <w:jc w:val="both"/>
        <w:rPr>
          <w:rFonts w:ascii="Arial" w:hAnsi="Arial" w:cs="Arial"/>
          <w:sz w:val="20"/>
          <w:szCs w:val="20"/>
        </w:rPr>
      </w:pPr>
      <w:r w:rsidRPr="00E5149A">
        <w:rPr>
          <w:rFonts w:ascii="Arial" w:hAnsi="Arial" w:cs="Arial"/>
          <w:sz w:val="20"/>
          <w:szCs w:val="20"/>
        </w:rPr>
        <w:t>les services accomplis de manière discontinue sont pris en compte, sous réserve que la durée des interruptions entre deux contrats n’excède pas quatre mois</w:t>
      </w:r>
      <w:r w:rsidR="00D528F1">
        <w:rPr>
          <w:rFonts w:ascii="Arial" w:hAnsi="Arial" w:cs="Arial"/>
          <w:sz w:val="20"/>
          <w:szCs w:val="20"/>
        </w:rPr>
        <w:t xml:space="preserve"> (</w:t>
      </w:r>
      <w:r w:rsidR="00D528F1" w:rsidRPr="00E5149A">
        <w:rPr>
          <w:rFonts w:ascii="Arial" w:hAnsi="Arial" w:cs="Arial"/>
          <w:sz w:val="20"/>
          <w:szCs w:val="20"/>
        </w:rPr>
        <w:t>article 37 de la loi</w:t>
      </w:r>
      <w:r w:rsidR="00D528F1">
        <w:rPr>
          <w:rFonts w:ascii="Arial" w:hAnsi="Arial" w:cs="Arial"/>
          <w:sz w:val="20"/>
          <w:szCs w:val="20"/>
        </w:rPr>
        <w:t>)</w:t>
      </w:r>
      <w:r w:rsidRPr="00E5149A">
        <w:rPr>
          <w:rFonts w:ascii="Arial" w:hAnsi="Arial" w:cs="Arial"/>
          <w:sz w:val="20"/>
          <w:szCs w:val="20"/>
        </w:rPr>
        <w:t>. Cette durée de 4 mois s’entend de date à date ;</w:t>
      </w:r>
    </w:p>
    <w:p w:rsidR="00D528F1" w:rsidRPr="00E5149A" w:rsidRDefault="00D528F1" w:rsidP="00D528F1">
      <w:pPr>
        <w:pStyle w:val="pleiade-rteelement-noh"/>
        <w:spacing w:before="0" w:beforeAutospacing="0" w:after="0" w:afterAutospacing="0"/>
        <w:ind w:left="720"/>
        <w:jc w:val="both"/>
        <w:rPr>
          <w:rFonts w:ascii="Arial" w:hAnsi="Arial" w:cs="Arial"/>
          <w:sz w:val="20"/>
          <w:szCs w:val="20"/>
        </w:rPr>
      </w:pPr>
    </w:p>
    <w:p w:rsidR="00E5149A" w:rsidRDefault="00E5149A" w:rsidP="00E5149A">
      <w:pPr>
        <w:pStyle w:val="pleiade-rteelement-noh"/>
        <w:numPr>
          <w:ilvl w:val="0"/>
          <w:numId w:val="4"/>
        </w:numPr>
        <w:spacing w:before="0" w:beforeAutospacing="0" w:after="0" w:afterAutospacing="0"/>
        <w:jc w:val="both"/>
        <w:rPr>
          <w:rFonts w:ascii="Arial" w:hAnsi="Arial" w:cs="Arial"/>
          <w:sz w:val="20"/>
          <w:szCs w:val="20"/>
        </w:rPr>
      </w:pPr>
      <w:r w:rsidRPr="00E5149A">
        <w:rPr>
          <w:rFonts w:ascii="Arial" w:hAnsi="Arial" w:cs="Arial"/>
          <w:sz w:val="20"/>
          <w:szCs w:val="20"/>
        </w:rPr>
        <w:t>bien que non comptabilisés dans le calcul des six ans, les services accomplis dans un établissement sous contrat simple ne sont pas considérés comme interruptifs du décompte des 6 années de services publics effectifs requis</w:t>
      </w:r>
      <w:r w:rsidR="00D528F1">
        <w:rPr>
          <w:rFonts w:ascii="Arial" w:hAnsi="Arial" w:cs="Arial"/>
          <w:sz w:val="20"/>
          <w:szCs w:val="20"/>
        </w:rPr>
        <w:t xml:space="preserve"> </w:t>
      </w:r>
      <w:r w:rsidRPr="00E5149A">
        <w:rPr>
          <w:rFonts w:ascii="Arial" w:hAnsi="Arial" w:cs="Arial"/>
          <w:sz w:val="20"/>
          <w:szCs w:val="20"/>
        </w:rPr>
        <w:t>;</w:t>
      </w:r>
    </w:p>
    <w:p w:rsidR="00D528F1" w:rsidRPr="00E5149A" w:rsidRDefault="00D528F1" w:rsidP="00D528F1">
      <w:pPr>
        <w:pStyle w:val="pleiade-rteelement-noh"/>
        <w:spacing w:before="0" w:beforeAutospacing="0" w:after="0" w:afterAutospacing="0"/>
        <w:jc w:val="both"/>
        <w:rPr>
          <w:rFonts w:ascii="Arial" w:hAnsi="Arial" w:cs="Arial"/>
          <w:sz w:val="20"/>
          <w:szCs w:val="20"/>
        </w:rPr>
      </w:pPr>
    </w:p>
    <w:p w:rsidR="00E5149A" w:rsidRPr="00E5149A" w:rsidRDefault="00E5149A" w:rsidP="00E5149A">
      <w:pPr>
        <w:pStyle w:val="pleiade-rteelement-noh"/>
        <w:numPr>
          <w:ilvl w:val="0"/>
          <w:numId w:val="4"/>
        </w:numPr>
        <w:spacing w:before="0" w:beforeAutospacing="0" w:after="0" w:afterAutospacing="0"/>
        <w:jc w:val="both"/>
        <w:rPr>
          <w:rFonts w:ascii="Arial" w:hAnsi="Arial" w:cs="Arial"/>
          <w:sz w:val="20"/>
          <w:szCs w:val="20"/>
        </w:rPr>
      </w:pPr>
      <w:r w:rsidRPr="00E5149A">
        <w:rPr>
          <w:rFonts w:ascii="Arial" w:hAnsi="Arial" w:cs="Arial"/>
          <w:sz w:val="20"/>
          <w:szCs w:val="20"/>
        </w:rPr>
        <w:t>les congés maladies et les congés de maternité ne sont pas considérés comme interruptifs de la continuité de services dès lors qu’ils sont accordés dans la limite de l’engagement du maître.</w:t>
      </w:r>
    </w:p>
    <w:p w:rsidR="00736108" w:rsidRPr="00E5149A" w:rsidRDefault="00736108">
      <w:pPr>
        <w:rPr>
          <w:rFonts w:ascii="Arial" w:hAnsi="Arial" w:cs="Arial"/>
          <w:sz w:val="20"/>
          <w:szCs w:val="20"/>
        </w:rPr>
      </w:pPr>
    </w:p>
    <w:sectPr w:rsidR="00736108" w:rsidRPr="00E5149A" w:rsidSect="00E5149A">
      <w:head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9A" w:rsidRDefault="00E5149A" w:rsidP="00E5149A">
      <w:pPr>
        <w:spacing w:after="0" w:line="240" w:lineRule="auto"/>
      </w:pPr>
      <w:r>
        <w:separator/>
      </w:r>
    </w:p>
  </w:endnote>
  <w:endnote w:type="continuationSeparator" w:id="0">
    <w:p w:rsidR="00E5149A" w:rsidRDefault="00E5149A" w:rsidP="00E5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9A" w:rsidRDefault="00E5149A" w:rsidP="00E5149A">
      <w:pPr>
        <w:spacing w:after="0" w:line="240" w:lineRule="auto"/>
      </w:pPr>
      <w:r>
        <w:separator/>
      </w:r>
    </w:p>
  </w:footnote>
  <w:footnote w:type="continuationSeparator" w:id="0">
    <w:p w:rsidR="00E5149A" w:rsidRDefault="00E5149A" w:rsidP="00E51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A" w:rsidRDefault="00E5149A">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posOffset>5561585</wp:posOffset>
              </wp:positionH>
              <wp:positionV relativeFrom="topMargin">
                <wp:posOffset>115466</wp:posOffset>
              </wp:positionV>
              <wp:extent cx="833878" cy="313501"/>
              <wp:effectExtent l="0" t="0" r="0" b="1079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878" cy="313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49A" w:rsidRDefault="00E5149A" w:rsidP="00E5149A">
                          <w:pPr>
                            <w:spacing w:after="0" w:line="240" w:lineRule="auto"/>
                            <w:jc w:val="right"/>
                          </w:pPr>
                          <w:r>
                            <w:t xml:space="preserve">ANNEXE 1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437.9pt;margin-top:9.1pt;width:65.65pt;height:2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kVvwIAALsFAAAOAAAAZHJzL2Uyb0RvYy54bWysVMlu2zAQvRfoPxC8K1os25IQOUgsqyiQ&#10;LkDaS280RVlEJVIlactJ0X/vkPKW5FIE1UEgh8M3b2Ye5/pm37Vox5TmUuQ4vAowYoLKiotNjr9/&#10;K70EI22IqEgrBcvxI9P4ZvH+3fXQZyySjWwrphCACJ0NfY4bY/rM9zVtWEf0leyZgMNaqo4Y2KqN&#10;XykyAHrX+lEQzPxBqqpXkjKtwVqMh3jh8OuaUfOlrjUzqM0xcDPur9x/bf/+4ppkG0X6htMDDfIG&#10;Fh3hAoKeoApiCNoq/gqq41RJLWtzRWXny7rmlLkcIJsweJHNQ0N65nKB4uj+VCb9/2Dp591XhXiV&#10;4yiC+gjSQZN+QKtQxZBhe8OQPYAyDb3OwPuhB3+zv5N7aLdLWff3kv7USMhlQ8SG3Solh4aRCmiG&#10;9qZ/cXXE0RZkPXySFUQjWyMd0L5Wna0hVAUBOtB5PLUImCAKxmQySeagKQpHk3AyDcYIJDte7pU2&#10;H5jskF3kWIECHDjZ3WtjyZDs6GJjCVnytnUqaMUzAziOFggNV+2ZJeGa+jsN0lWySmIvjmYrLw6K&#10;wrstl7E3K8P5tJgUy2UR/rFxwzhreFUxYcMcBRbG/9bAg9RHaZwkpmXLKwtnKWm1WS9bhXYEBF66&#10;z5UcTs5u/nMargiQy4uUwigO7qLUK2fJ3IvLeOql8yDxgjC9S2dBnMZF+Tylew4yGZ8uBHhrSmjI&#10;cTqNpqOWzqRf5Ba473VuJOu4gRHS8g7UcXIimVXgSlSutYbwdlxflMLSP5cC2n1stNOrlegoVrNf&#10;7wHFingtq0dQrpKgLJAnzD1YNFI9YTTADMmx/rUlimHUfhSg/jSMYzt03AYW6tK6PlqJoACRY2oU&#10;RuNmacYRte0V3zQQY3xpQt7CW6m50/GZz+GFwYRw6RymmR1Bl3vndZ65i78AAAD//wMAUEsDBBQA&#10;BgAIAAAAIQBFNDZd4QAAAAoBAAAPAAAAZHJzL2Rvd25yZXYueG1sTI/BTsMwEETvSPyDtUhcELVT&#10;aBKFOBWqVESPLRTRmxsvScBeR7Hbpn+Pe4LjaEYzb8r5aA074uA7RxKSiQCGVDvdUSPh/W15nwPz&#10;QZFWxhFKOKOHeXV9VapCuxOt8bgJDYsl5AsloQ2hLzj3dYtW+YnrkaL35QarQpRDw/WgTrHcGj4V&#10;IuVWdRQXWtXjosX6Z3OwEszHw45vtwtBq2XysputXz+/7x6lvL0Zn5+ABRzDXxgu+BEdqsi0dwfS&#10;nhkJeTaL6CEa+RTYJSBElgDbS0izFHhV8v8Xql8AAAD//wMAUEsBAi0AFAAGAAgAAAAhALaDOJL+&#10;AAAA4QEAABMAAAAAAAAAAAAAAAAAAAAAAFtDb250ZW50X1R5cGVzXS54bWxQSwECLQAUAAYACAAA&#10;ACEAOP0h/9YAAACUAQAACwAAAAAAAAAAAAAAAAAvAQAAX3JlbHMvLnJlbHNQSwECLQAUAAYACAAA&#10;ACEAyz9JFb8CAAC7BQAADgAAAAAAAAAAAAAAAAAuAgAAZHJzL2Uyb0RvYy54bWxQSwECLQAUAAYA&#10;CAAAACEARTQ2XeEAAAAKAQAADwAAAAAAAAAAAAAAAAAZBQAAZHJzL2Rvd25yZXYueG1sUEsFBgAA&#10;AAAEAAQA8wAAACcGAAAAAA==&#10;" o:allowincell="f" filled="f" stroked="f">
              <v:textbox inset=",0,,0">
                <w:txbxContent>
                  <w:p w:rsidR="00E5149A" w:rsidRDefault="00E5149A" w:rsidP="00E5149A">
                    <w:pPr>
                      <w:spacing w:after="0" w:line="240" w:lineRule="auto"/>
                      <w:jc w:val="right"/>
                    </w:pPr>
                    <w:r>
                      <w:t xml:space="preserve">ANNEXE 1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B25BC"/>
    <w:multiLevelType w:val="multilevel"/>
    <w:tmpl w:val="C9D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B6DB3"/>
    <w:multiLevelType w:val="multilevel"/>
    <w:tmpl w:val="764E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21B76"/>
    <w:multiLevelType w:val="hybridMultilevel"/>
    <w:tmpl w:val="E6CE2752"/>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638F2A23"/>
    <w:multiLevelType w:val="multilevel"/>
    <w:tmpl w:val="702E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727BD"/>
    <w:multiLevelType w:val="multilevel"/>
    <w:tmpl w:val="8D0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9A"/>
    <w:rsid w:val="00736108"/>
    <w:rsid w:val="00C6747A"/>
    <w:rsid w:val="00D528F1"/>
    <w:rsid w:val="00E51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8372BA-90DA-43EE-861E-243D6C01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leiade-rteelement-noh">
    <w:name w:val="pleiade-rteelement-noh"/>
    <w:basedOn w:val="Normal"/>
    <w:rsid w:val="00E514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149A"/>
    <w:rPr>
      <w:color w:val="0000FF"/>
      <w:u w:val="single"/>
    </w:rPr>
  </w:style>
  <w:style w:type="character" w:styleId="lev">
    <w:name w:val="Strong"/>
    <w:basedOn w:val="Policepardfaut"/>
    <w:uiPriority w:val="22"/>
    <w:qFormat/>
    <w:rsid w:val="00E5149A"/>
    <w:rPr>
      <w:b/>
      <w:bCs/>
    </w:rPr>
  </w:style>
  <w:style w:type="paragraph" w:styleId="En-tte">
    <w:name w:val="header"/>
    <w:basedOn w:val="Normal"/>
    <w:link w:val="En-tteCar"/>
    <w:uiPriority w:val="99"/>
    <w:unhideWhenUsed/>
    <w:rsid w:val="00E5149A"/>
    <w:pPr>
      <w:tabs>
        <w:tab w:val="center" w:pos="4536"/>
        <w:tab w:val="right" w:pos="9072"/>
      </w:tabs>
      <w:spacing w:after="0" w:line="240" w:lineRule="auto"/>
    </w:pPr>
  </w:style>
  <w:style w:type="character" w:customStyle="1" w:styleId="En-tteCar">
    <w:name w:val="En-tête Car"/>
    <w:basedOn w:val="Policepardfaut"/>
    <w:link w:val="En-tte"/>
    <w:uiPriority w:val="99"/>
    <w:rsid w:val="00E5149A"/>
  </w:style>
  <w:style w:type="paragraph" w:styleId="Pieddepage">
    <w:name w:val="footer"/>
    <w:basedOn w:val="Normal"/>
    <w:link w:val="PieddepageCar"/>
    <w:uiPriority w:val="99"/>
    <w:unhideWhenUsed/>
    <w:rsid w:val="00E514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49A"/>
  </w:style>
  <w:style w:type="paragraph" w:styleId="Paragraphedeliste">
    <w:name w:val="List Paragraph"/>
    <w:basedOn w:val="Normal"/>
    <w:uiPriority w:val="34"/>
    <w:qFormat/>
    <w:rsid w:val="00D5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2554</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COPINEAU</dc:creator>
  <cp:keywords/>
  <dc:description/>
  <cp:lastModifiedBy>Florence COPINEAU</cp:lastModifiedBy>
  <cp:revision>2</cp:revision>
  <dcterms:created xsi:type="dcterms:W3CDTF">2020-04-16T13:58:00Z</dcterms:created>
  <dcterms:modified xsi:type="dcterms:W3CDTF">2020-04-16T13:58:00Z</dcterms:modified>
</cp:coreProperties>
</file>